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93E" w:rsidRPr="00D6093E" w:rsidRDefault="00D6093E" w:rsidP="00D6093E">
      <w:pPr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6093E">
        <w:rPr>
          <w:rFonts w:ascii="Calibri" w:hAnsi="Calibri" w:cs="Calibri"/>
          <w:b/>
          <w:bCs/>
          <w:sz w:val="24"/>
          <w:szCs w:val="24"/>
        </w:rPr>
        <w:t>Objaśnienia wartości przyjętych w wieloletniej prognozie finansowej</w:t>
      </w:r>
    </w:p>
    <w:p w:rsidR="00D6093E" w:rsidRPr="00D6093E" w:rsidRDefault="00D6093E" w:rsidP="00D6093E">
      <w:pPr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6093E">
        <w:rPr>
          <w:rFonts w:ascii="Calibri" w:hAnsi="Calibri" w:cs="Calibri"/>
          <w:b/>
          <w:bCs/>
          <w:sz w:val="24"/>
          <w:szCs w:val="24"/>
        </w:rPr>
        <w:t>Gminy Biały Bór na lata 2026 - 2036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 xml:space="preserve">Wieloletnia Prognoza Finansowa Gminy Biały Bór przygotowana została na lata 2026 – 2036. Długość okresu objętego prognozą wynika z art. 227 ust. 2 Ustawy z dnia 27 sierpnia 2009 roku   o finansach publicznych (dalej zwana Ustawą). Z brzmienia przepisu wynika, że prognozę kwoty długu, stanowiącą część wieloletniej prognozy finansowej, sporządza się na okres, na który zaciągnięto oraz planuje się zaciągnąć zobowiązania.  </w:t>
      </w:r>
    </w:p>
    <w:p w:rsidR="00D6093E" w:rsidRPr="00D6093E" w:rsidRDefault="00D6093E" w:rsidP="00D6093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b/>
          <w:bCs/>
          <w:sz w:val="24"/>
          <w:szCs w:val="24"/>
        </w:rPr>
        <w:t>1. Założenia makroekonomiczne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240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Przy opracowaniu prognozy pozycji budżetowych Gminy Biały Bór wykorzystano dwa podstawowe mierniki koniunktury gospodarczej – wskaźnik inflacji (CPI). Na ich podstawie oszacowano wartości dochodów i wydatków Gminy, co pozwoli realizować w przyszłości właściwą politykę finansową jednostki.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Zgodnie z zaleceniami Ministra Finansów, prognozę wskazanych mierników oparto</w:t>
      </w:r>
      <w:r w:rsidRPr="00D6093E">
        <w:rPr>
          <w:rFonts w:ascii="Calibri" w:hAnsi="Calibri" w:cs="Calibri"/>
          <w:sz w:val="24"/>
          <w:szCs w:val="24"/>
        </w:rPr>
        <w:br/>
        <w:t>o Wytyczne dotyczące założeń makroekonomicznych na potrzeby wieloletnich prognoz finansowych jednostek samorządu terytorialnego i o projekt ustawy budżetowej na 2026 rok.</w:t>
      </w:r>
    </w:p>
    <w:tbl>
      <w:tblPr>
        <w:tblW w:w="0" w:type="auto"/>
        <w:tblInd w:w="7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6"/>
        <w:gridCol w:w="1498"/>
        <w:gridCol w:w="1495"/>
        <w:gridCol w:w="1495"/>
        <w:gridCol w:w="1495"/>
      </w:tblGrid>
      <w:tr w:rsidR="00D6093E" w:rsidRPr="00D6093E">
        <w:trPr>
          <w:trHeight w:val="270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6093E" w:rsidRPr="00D6093E" w:rsidRDefault="00D6093E" w:rsidP="00D609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6093E">
              <w:rPr>
                <w:rFonts w:ascii="Calibri" w:hAnsi="Calibri" w:cs="Calibri"/>
                <w:b/>
                <w:bCs/>
                <w:sz w:val="24"/>
                <w:szCs w:val="24"/>
              </w:rPr>
              <w:t>Wskaźnik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6093E" w:rsidRPr="00D6093E" w:rsidRDefault="00D6093E" w:rsidP="00D609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6093E">
              <w:rPr>
                <w:rFonts w:ascii="Calibri" w:hAnsi="Calibri" w:cs="Calibri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6093E" w:rsidRPr="00D6093E" w:rsidRDefault="00D6093E" w:rsidP="00D609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6093E">
              <w:rPr>
                <w:rFonts w:ascii="Calibri" w:hAnsi="Calibri" w:cs="Calibri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6093E" w:rsidRPr="00D6093E" w:rsidRDefault="00D6093E" w:rsidP="00D609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6093E">
              <w:rPr>
                <w:rFonts w:ascii="Calibri" w:hAnsi="Calibri" w:cs="Calibri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6093E" w:rsidRPr="00D6093E" w:rsidRDefault="00D6093E" w:rsidP="00D609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6093E">
              <w:rPr>
                <w:rFonts w:ascii="Calibri" w:hAnsi="Calibri" w:cs="Calibri"/>
                <w:b/>
                <w:bCs/>
                <w:sz w:val="24"/>
                <w:szCs w:val="24"/>
              </w:rPr>
              <w:t>2029</w:t>
            </w:r>
          </w:p>
        </w:tc>
      </w:tr>
      <w:tr w:rsidR="00D6093E" w:rsidRPr="00D6093E">
        <w:trPr>
          <w:trHeight w:val="270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3E" w:rsidRPr="00D6093E" w:rsidRDefault="00D6093E" w:rsidP="00D609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6093E">
              <w:rPr>
                <w:rFonts w:ascii="Calibri" w:hAnsi="Calibri" w:cs="Calibri"/>
                <w:b/>
                <w:bCs/>
                <w:sz w:val="24"/>
                <w:szCs w:val="24"/>
              </w:rPr>
              <w:t>Inflacja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3E" w:rsidRPr="00D6093E" w:rsidRDefault="00D6093E" w:rsidP="00D6093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6093E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3,00%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3E" w:rsidRPr="00D6093E" w:rsidRDefault="00D6093E" w:rsidP="00D6093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6093E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2,60%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3E" w:rsidRPr="00D6093E" w:rsidRDefault="00D6093E" w:rsidP="00D6093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6093E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2,50%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3E" w:rsidRPr="00D6093E" w:rsidRDefault="00D6093E" w:rsidP="00D6093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6093E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2,40%</w:t>
            </w:r>
          </w:p>
        </w:tc>
      </w:tr>
    </w:tbl>
    <w:p w:rsidR="00D6093E" w:rsidRPr="00D6093E" w:rsidRDefault="00D6093E" w:rsidP="00D6093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Prognozę oparto o następujące założenia:</w:t>
      </w:r>
    </w:p>
    <w:p w:rsidR="00D6093E" w:rsidRPr="00D6093E" w:rsidRDefault="00D6093E" w:rsidP="00D6093E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60" w:line="276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dla roku 2065 przyjęto wartości wynikające z uchwały budżetowej;</w:t>
      </w:r>
    </w:p>
    <w:p w:rsidR="00D6093E" w:rsidRPr="00D6093E" w:rsidRDefault="00D6093E" w:rsidP="00D6093E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60" w:line="276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dla lat 2027-2029 prognozę dochodów bieżących wykonano poprzez indeksację</w:t>
      </w:r>
      <w:r w:rsidRPr="00D6093E">
        <w:rPr>
          <w:rFonts w:ascii="Calibri" w:hAnsi="Calibri" w:cs="Calibri"/>
          <w:sz w:val="24"/>
          <w:szCs w:val="24"/>
        </w:rPr>
        <w:br/>
        <w:t>o wskaźniki dynamiki inflacji dodając dodatkowe wpływy z podatku od nieruchomości, a prognozę wydatków bieżących wykonano o wskaźniki inflacji.</w:t>
      </w:r>
    </w:p>
    <w:p w:rsidR="00D6093E" w:rsidRPr="00D6093E" w:rsidRDefault="00D6093E" w:rsidP="00D6093E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60" w:line="276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dla lat 2030-2036 przyjęto wartości stałe wynikające z indeksacji roku 2029. Taki sposób przyjęto ze względów ostrożnościowych, z uwagi na długi okres prognozowania.</w:t>
      </w:r>
    </w:p>
    <w:p w:rsidR="00D6093E" w:rsidRPr="00D6093E" w:rsidRDefault="00D6093E" w:rsidP="00D6093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Podzielenie prognozy w powyższy sposób pozwoliło na realną ocenę możliwości inwestycyjno-kredytowych Gminy.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D6093E" w:rsidRDefault="00D6093E" w:rsidP="00D6093E">
      <w:pPr>
        <w:numPr>
          <w:ilvl w:val="0"/>
          <w:numId w:val="2"/>
        </w:numPr>
        <w:tabs>
          <w:tab w:val="left" w:pos="425"/>
          <w:tab w:val="left" w:pos="47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6093E">
        <w:rPr>
          <w:rFonts w:ascii="Calibri" w:hAnsi="Calibri" w:cs="Calibri"/>
          <w:b/>
          <w:bCs/>
          <w:sz w:val="24"/>
          <w:szCs w:val="24"/>
        </w:rPr>
        <w:t>Dotyczy dochodów  lat 2026- 2036 wykazanych w poz. 1</w:t>
      </w:r>
    </w:p>
    <w:p w:rsidR="00D6093E" w:rsidRPr="00D6093E" w:rsidRDefault="00D6093E" w:rsidP="00D6093E">
      <w:pPr>
        <w:tabs>
          <w:tab w:val="left" w:pos="42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Objaśnienia:</w:t>
      </w:r>
    </w:p>
    <w:p w:rsidR="00D6093E" w:rsidRPr="00D6093E" w:rsidRDefault="00D6093E" w:rsidP="00D6093E">
      <w:pPr>
        <w:tabs>
          <w:tab w:val="left" w:pos="42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Prognozy dochodów dokonano przy następujących założeniach: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- w dochodach ogółem dokonano podziału na dochody bieżące i majątkowe.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W dochodach bieżących prognozowano w podziale na kategorie: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 xml:space="preserve">- udział w podatkach centralnych budżetu państwa (wyszczególniając: udział </w:t>
      </w:r>
      <w:r w:rsidRPr="00D6093E">
        <w:rPr>
          <w:rFonts w:ascii="Calibri" w:hAnsi="Calibri" w:cs="Calibri"/>
          <w:sz w:val="24"/>
          <w:szCs w:val="24"/>
        </w:rPr>
        <w:br/>
        <w:t xml:space="preserve">w podatku dochodowym od osób fizycznych – PIT oraz udział w podatku </w:t>
      </w:r>
      <w:r w:rsidRPr="00D6093E">
        <w:rPr>
          <w:rFonts w:ascii="Calibri" w:hAnsi="Calibri" w:cs="Calibri"/>
          <w:sz w:val="24"/>
          <w:szCs w:val="24"/>
        </w:rPr>
        <w:br/>
        <w:t>dochodowym od osób prawnych – CIT)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- subwencja ogólna,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 xml:space="preserve">- dotacje i środki na zadania bieżące 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- pozostałe dochody bieżące (wyszczególniając podatki: od nieruchomości).</w:t>
      </w:r>
    </w:p>
    <w:p w:rsid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615E1F" w:rsidRPr="00D6093E" w:rsidRDefault="00615E1F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lastRenderedPageBreak/>
        <w:t>W dochodach majątkowych prognozowano w podziale na kategorie: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- dochody z majątku (wyszczególniając sprzedaż mienia) Zaplanowano wysoką sprzedaż na poziomie 562.000 zł. Gmina planuje sprzedać kilka nowo wydzielonych działek w Białym Borze i jedno mieszkanie komunalne.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- dotacje na inwestycje (wyszczególniając dofinansowanie ze środków unijnych, dofinansowanie z budżetu państwa).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 xml:space="preserve">Wszystkie wymienione kategorie wybrane zostały na podstawie paragrafów </w:t>
      </w:r>
      <w:r w:rsidRPr="00D6093E">
        <w:rPr>
          <w:rFonts w:ascii="Calibri" w:hAnsi="Calibri" w:cs="Calibri"/>
          <w:sz w:val="24"/>
          <w:szCs w:val="24"/>
        </w:rPr>
        <w:br/>
        <w:t>klasyfikacji budżetowej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 xml:space="preserve">Dochody bieżące i majątkowe na 2026 r. przyjęto zgodnie z założeniami projektu budżetu. 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 xml:space="preserve">Na lata 2027-2029 dokonano indeksacji dochodów w oparciu o wytyczne Ministerstwa Finansów wszystkich dochodów oprócz sprzedaży mienia. 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 xml:space="preserve">W 2027 zwiększono dochody o 2,00 mln zł z tytułu podatku od nieruchomości od bardzo dużej farmy fotowoltaicznej, a także od nowo budowanej linii energetycznej. 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Calibri" w:hAnsi="Calibri" w:cs="Calibri"/>
          <w:b/>
          <w:bCs/>
          <w:sz w:val="24"/>
          <w:szCs w:val="24"/>
        </w:rPr>
      </w:pPr>
      <w:r w:rsidRPr="00D6093E">
        <w:rPr>
          <w:rFonts w:ascii="Calibri" w:hAnsi="Calibri" w:cs="Calibri"/>
          <w:b/>
          <w:bCs/>
          <w:sz w:val="24"/>
          <w:szCs w:val="24"/>
        </w:rPr>
        <w:t>Zmiany: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Calibri" w:hAnsi="Calibri" w:cs="Calibri"/>
          <w:b/>
          <w:bCs/>
          <w:sz w:val="24"/>
          <w:szCs w:val="24"/>
        </w:rPr>
      </w:pPr>
      <w:r w:rsidRPr="00D6093E">
        <w:rPr>
          <w:rFonts w:ascii="Calibri" w:hAnsi="Calibri" w:cs="Calibri"/>
          <w:b/>
          <w:bCs/>
          <w:sz w:val="24"/>
          <w:szCs w:val="24"/>
        </w:rPr>
        <w:t>Wprowadza się dochody zgodnie z załącznikiem zmian w budżecie.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D6093E" w:rsidRDefault="00D6093E" w:rsidP="00D6093E">
      <w:pPr>
        <w:numPr>
          <w:ilvl w:val="0"/>
          <w:numId w:val="2"/>
        </w:numPr>
        <w:tabs>
          <w:tab w:val="left" w:pos="425"/>
          <w:tab w:val="left" w:pos="47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6093E">
        <w:rPr>
          <w:rFonts w:ascii="Calibri" w:hAnsi="Calibri" w:cs="Calibri"/>
          <w:b/>
          <w:bCs/>
          <w:sz w:val="24"/>
          <w:szCs w:val="24"/>
        </w:rPr>
        <w:t>Dotyczy wydatków  lat  2026 – 2036 wykazanych w poz. 2.</w:t>
      </w:r>
    </w:p>
    <w:p w:rsidR="00D6093E" w:rsidRPr="00D6093E" w:rsidRDefault="00D6093E" w:rsidP="00D6093E">
      <w:pPr>
        <w:tabs>
          <w:tab w:val="left" w:pos="42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Objaśnienia: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Podobnie jak dochody, wydatki podzielono przy prognozowaniu na kategorie wydatków bieżących i wydatków majątkowych. Ponadto wyodrębniono wydatki związane z obsługą zadłużenia i wynagrodzeń.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Wydatki  w roku 2026 przyjęto zgodnie z założeniami projektu budżetu, w tym m.in. wydatki na obsługę długu  zaplanowano w kwocie 480.000 zł, a na spłatę poręczeń nie planowano żadnej kwoty, ponieważ PWIK spłacił raty kredytów aż do 2033 roku i poręczenia te nie są wymagalne.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Wydatki bieżące na 2027 rok indeksowano o 2,60 %. Natomiast wydatki 2028 roku zindeksowano o 2,50 % (bez kwoty na obsługę długu), a na 2029 zindeksowano o 2,4%. Kolejne lata utrzymano na poziomie 2029 roku, ze względów ostrożnościowych.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Planowane wynagrodzenia na 2026 rok są mniejsze niż wykonane w 2025 roku, z uwagi na realizację kilku projektów, których zakończenie nastąpiło w 2025 roku.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Calibri" w:hAnsi="Calibri" w:cs="Calibri"/>
          <w:b/>
          <w:bCs/>
          <w:sz w:val="24"/>
          <w:szCs w:val="24"/>
        </w:rPr>
      </w:pPr>
      <w:r w:rsidRPr="00D6093E">
        <w:rPr>
          <w:rFonts w:ascii="Calibri" w:hAnsi="Calibri" w:cs="Calibri"/>
          <w:b/>
          <w:bCs/>
          <w:sz w:val="24"/>
          <w:szCs w:val="24"/>
        </w:rPr>
        <w:t>Zmiany: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Calibri" w:hAnsi="Calibri" w:cs="Calibri"/>
          <w:b/>
          <w:bCs/>
          <w:sz w:val="24"/>
          <w:szCs w:val="24"/>
        </w:rPr>
      </w:pPr>
      <w:r w:rsidRPr="00D6093E">
        <w:rPr>
          <w:rFonts w:ascii="Calibri" w:hAnsi="Calibri" w:cs="Calibri"/>
          <w:b/>
          <w:bCs/>
          <w:sz w:val="24"/>
          <w:szCs w:val="24"/>
        </w:rPr>
        <w:t>Wprowadza się wydatki zgodnie z załącznikiem zmian w budżecie.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6093E">
        <w:rPr>
          <w:rFonts w:ascii="Calibri" w:hAnsi="Calibri" w:cs="Calibri"/>
          <w:b/>
          <w:bCs/>
          <w:sz w:val="24"/>
          <w:szCs w:val="24"/>
        </w:rPr>
        <w:t>Gmina Biały Bór udzieliła następujące poręczenia i gwarancje: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D6093E" w:rsidRDefault="00D6093E" w:rsidP="00D6093E">
      <w:pPr>
        <w:numPr>
          <w:ilvl w:val="0"/>
          <w:numId w:val="3"/>
        </w:numPr>
        <w:tabs>
          <w:tab w:val="left" w:pos="426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6093E">
        <w:rPr>
          <w:rFonts w:ascii="Calibri" w:hAnsi="Calibri" w:cs="Calibri"/>
          <w:b/>
          <w:bCs/>
          <w:sz w:val="24"/>
          <w:szCs w:val="24"/>
        </w:rPr>
        <w:t>Nazwa i siedziba pożyczkobiorcy:</w:t>
      </w:r>
    </w:p>
    <w:p w:rsidR="00D6093E" w:rsidRPr="00D6093E" w:rsidRDefault="00D6093E" w:rsidP="00D6093E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120" w:line="240" w:lineRule="auto"/>
        <w:ind w:left="420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 xml:space="preserve">Przedsiębiorstwo Wodociągów i Kanalizacji Sp. z o.o. w Szczecinku – pożyczka </w:t>
      </w:r>
      <w:r w:rsidRPr="00D6093E">
        <w:rPr>
          <w:rFonts w:ascii="Calibri" w:hAnsi="Calibri" w:cs="Calibri"/>
          <w:sz w:val="24"/>
          <w:szCs w:val="24"/>
        </w:rPr>
        <w:br/>
        <w:t xml:space="preserve">z Wojewódzkiego Funduszu Ochrony Środowiska i Gospodarki Wodnej </w:t>
      </w:r>
    </w:p>
    <w:p w:rsidR="00D6093E" w:rsidRPr="00D6093E" w:rsidRDefault="00D6093E" w:rsidP="00D6093E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120" w:line="240" w:lineRule="auto"/>
        <w:ind w:left="420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Uchwała Nr IV/32/11 Rady Miejskiej w Białym Borze z dnia 14 lutego 2011 rok.</w:t>
      </w:r>
    </w:p>
    <w:p w:rsidR="00D6093E" w:rsidRPr="00D6093E" w:rsidRDefault="00D6093E" w:rsidP="00D6093E">
      <w:pPr>
        <w:numPr>
          <w:ilvl w:val="0"/>
          <w:numId w:val="4"/>
        </w:numPr>
        <w:tabs>
          <w:tab w:val="left" w:pos="426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 xml:space="preserve">Kwota poręczenia: </w:t>
      </w:r>
      <w:r w:rsidRPr="00D6093E">
        <w:rPr>
          <w:rFonts w:ascii="Calibri" w:hAnsi="Calibri" w:cs="Calibri"/>
          <w:b/>
          <w:bCs/>
          <w:sz w:val="24"/>
          <w:szCs w:val="24"/>
        </w:rPr>
        <w:t>655.047,34 zł</w:t>
      </w:r>
    </w:p>
    <w:p w:rsidR="00D6093E" w:rsidRPr="00D6093E" w:rsidRDefault="00D6093E" w:rsidP="00D6093E">
      <w:pPr>
        <w:numPr>
          <w:ilvl w:val="0"/>
          <w:numId w:val="4"/>
        </w:numPr>
        <w:tabs>
          <w:tab w:val="left" w:pos="426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Harmonogram spłat potencjalnych zobowiązań z tytułu udzielonego poręczenia:</w:t>
      </w:r>
    </w:p>
    <w:p w:rsidR="00D6093E" w:rsidRPr="00D6093E" w:rsidRDefault="00D6093E" w:rsidP="00D6093E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 xml:space="preserve">2034r. – 261.287,24 zł </w:t>
      </w:r>
    </w:p>
    <w:p w:rsidR="00D6093E" w:rsidRPr="00D6093E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Wykazane poręczenia i gwarancje zostały udzielone przez Gminę Biały Bór w związku</w:t>
      </w:r>
      <w:r w:rsidRPr="00D6093E">
        <w:rPr>
          <w:rFonts w:ascii="Calibri" w:hAnsi="Calibri" w:cs="Calibri"/>
          <w:sz w:val="24"/>
          <w:szCs w:val="24"/>
        </w:rPr>
        <w:br/>
        <w:t xml:space="preserve">z realizacją Projektu wodno- kanalizacyjnego prowadzonego przez Związek Miast i Gmin </w:t>
      </w:r>
      <w:r w:rsidRPr="00D6093E">
        <w:rPr>
          <w:rFonts w:ascii="Calibri" w:hAnsi="Calibri" w:cs="Calibri"/>
          <w:sz w:val="24"/>
          <w:szCs w:val="24"/>
        </w:rPr>
        <w:lastRenderedPageBreak/>
        <w:t>Dorzecza Parsęty w Karlinie i Przedsiębiorstwo Wodociągów i Kanalizacji w Szczecinku. Udzielone poręczenia nie są wymagalne.</w:t>
      </w:r>
    </w:p>
    <w:p w:rsidR="00D6093E" w:rsidRPr="00D6093E" w:rsidRDefault="00D6093E" w:rsidP="00D6093E">
      <w:pPr>
        <w:numPr>
          <w:ilvl w:val="0"/>
          <w:numId w:val="5"/>
        </w:numPr>
        <w:tabs>
          <w:tab w:val="left" w:pos="42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6093E">
        <w:rPr>
          <w:rFonts w:ascii="Calibri" w:hAnsi="Calibri" w:cs="Calibri"/>
          <w:b/>
          <w:bCs/>
          <w:sz w:val="24"/>
          <w:szCs w:val="24"/>
        </w:rPr>
        <w:t>Dotyczy wyniku budżetu  lat 2026- 2036 wykazanych w poz. 3</w:t>
      </w:r>
    </w:p>
    <w:p w:rsidR="00D6093E" w:rsidRPr="00D6093E" w:rsidRDefault="00D6093E" w:rsidP="00D6093E">
      <w:pPr>
        <w:tabs>
          <w:tab w:val="left" w:pos="42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Objaśnienia: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6093E">
        <w:rPr>
          <w:rFonts w:ascii="Calibri" w:hAnsi="Calibri" w:cs="Calibri"/>
          <w:sz w:val="24"/>
          <w:szCs w:val="24"/>
        </w:rPr>
        <w:t>Pozycja wynik budżetu</w:t>
      </w:r>
      <w:r w:rsidRPr="003B449B">
        <w:rPr>
          <w:rFonts w:ascii="Calibri" w:hAnsi="Calibri" w:cs="Calibri"/>
          <w:sz w:val="24"/>
          <w:szCs w:val="24"/>
        </w:rPr>
        <w:t xml:space="preserve"> jest różnicą pomiędzy pozycjami 1 „Dochody”, a pozycją 2 „Wydatki ogółem”. Wynik w 2026 rok jest nadwyżką i wynosi</w:t>
      </w:r>
      <w:r w:rsidR="00615E1F" w:rsidRPr="003B449B">
        <w:rPr>
          <w:rFonts w:ascii="Calibri" w:hAnsi="Calibri" w:cs="Calibri"/>
          <w:sz w:val="24"/>
          <w:szCs w:val="24"/>
        </w:rPr>
        <w:t xml:space="preserve"> </w:t>
      </w:r>
      <w:r w:rsidR="00D44AAD">
        <w:rPr>
          <w:rFonts w:ascii="Calibri" w:hAnsi="Calibri" w:cs="Calibri"/>
          <w:sz w:val="24"/>
          <w:szCs w:val="24"/>
        </w:rPr>
        <w:t>550.970,64</w:t>
      </w:r>
      <w:r w:rsidRPr="003B449B">
        <w:rPr>
          <w:rFonts w:ascii="Calibri" w:hAnsi="Calibri" w:cs="Calibri"/>
          <w:sz w:val="24"/>
          <w:szCs w:val="24"/>
        </w:rPr>
        <w:t xml:space="preserve"> zł i zostanie przeznczony na spłatę rozchodów. 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3B449B" w:rsidRDefault="00D6093E" w:rsidP="00D6093E">
      <w:pPr>
        <w:numPr>
          <w:ilvl w:val="0"/>
          <w:numId w:val="6"/>
        </w:numPr>
        <w:tabs>
          <w:tab w:val="left" w:pos="42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B449B">
        <w:rPr>
          <w:rFonts w:ascii="Calibri" w:hAnsi="Calibri" w:cs="Calibri"/>
          <w:b/>
          <w:bCs/>
          <w:sz w:val="24"/>
          <w:szCs w:val="24"/>
        </w:rPr>
        <w:t>Dotyczy przychodów  roku  2026 wykazanych w poz. 4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Objaśnienia:</w:t>
      </w:r>
    </w:p>
    <w:p w:rsidR="00D6093E" w:rsidRPr="003B449B" w:rsidRDefault="003B449B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 xml:space="preserve">Przychody wynoszą </w:t>
      </w:r>
      <w:r w:rsidR="00D44AAD">
        <w:rPr>
          <w:rFonts w:ascii="Calibri" w:hAnsi="Calibri" w:cs="Calibri"/>
          <w:sz w:val="24"/>
          <w:szCs w:val="24"/>
        </w:rPr>
        <w:t>549.029,36</w:t>
      </w:r>
      <w:r w:rsidRPr="003B449B">
        <w:rPr>
          <w:rFonts w:ascii="Calibri" w:hAnsi="Calibri" w:cs="Calibri"/>
          <w:sz w:val="24"/>
          <w:szCs w:val="24"/>
        </w:rPr>
        <w:t xml:space="preserve"> zł. W</w:t>
      </w:r>
      <w:r w:rsidR="00D6093E" w:rsidRPr="003B449B">
        <w:rPr>
          <w:rFonts w:ascii="Calibri" w:hAnsi="Calibri" w:cs="Calibri"/>
          <w:sz w:val="24"/>
          <w:szCs w:val="24"/>
        </w:rPr>
        <w:t xml:space="preserve"> tym </w:t>
      </w:r>
      <w:r w:rsidR="00962FA7" w:rsidRPr="003B449B">
        <w:rPr>
          <w:rFonts w:ascii="Calibri" w:hAnsi="Calibri" w:cs="Calibri"/>
          <w:sz w:val="24"/>
          <w:szCs w:val="24"/>
        </w:rPr>
        <w:t xml:space="preserve"> </w:t>
      </w:r>
      <w:r w:rsidR="00D6093E" w:rsidRPr="003B449B">
        <w:rPr>
          <w:rFonts w:ascii="Calibri" w:hAnsi="Calibri" w:cs="Calibri"/>
          <w:sz w:val="24"/>
          <w:szCs w:val="24"/>
        </w:rPr>
        <w:t>z tytułu  wolnych środ</w:t>
      </w:r>
      <w:r w:rsidR="00615E1F" w:rsidRPr="003B449B">
        <w:rPr>
          <w:rFonts w:ascii="Calibri" w:hAnsi="Calibri" w:cs="Calibri"/>
          <w:sz w:val="24"/>
          <w:szCs w:val="24"/>
        </w:rPr>
        <w:t>ków</w:t>
      </w:r>
      <w:r w:rsidR="00D44AAD">
        <w:rPr>
          <w:rFonts w:ascii="Calibri" w:hAnsi="Calibri" w:cs="Calibri"/>
          <w:sz w:val="24"/>
          <w:szCs w:val="24"/>
        </w:rPr>
        <w:t xml:space="preserve"> 358.622,59</w:t>
      </w:r>
      <w:r w:rsidR="00615E1F" w:rsidRPr="003B449B">
        <w:rPr>
          <w:rFonts w:ascii="Calibri" w:hAnsi="Calibri" w:cs="Calibri"/>
          <w:sz w:val="24"/>
          <w:szCs w:val="24"/>
        </w:rPr>
        <w:t>, które są wypracowane w 2025</w:t>
      </w:r>
      <w:r w:rsidR="00D6093E" w:rsidRPr="003B449B">
        <w:rPr>
          <w:rFonts w:ascii="Calibri" w:hAnsi="Calibri" w:cs="Calibri"/>
          <w:sz w:val="24"/>
          <w:szCs w:val="24"/>
        </w:rPr>
        <w:t xml:space="preserve"> roku. Wolne środki za 202</w:t>
      </w:r>
      <w:r w:rsidR="00615E1F" w:rsidRPr="003B449B">
        <w:rPr>
          <w:rFonts w:ascii="Calibri" w:hAnsi="Calibri" w:cs="Calibri"/>
          <w:sz w:val="24"/>
          <w:szCs w:val="24"/>
        </w:rPr>
        <w:t>5</w:t>
      </w:r>
      <w:r w:rsidR="00D6093E" w:rsidRPr="003B449B">
        <w:rPr>
          <w:rFonts w:ascii="Calibri" w:hAnsi="Calibri" w:cs="Calibri"/>
          <w:sz w:val="24"/>
          <w:szCs w:val="24"/>
        </w:rPr>
        <w:t xml:space="preserve"> roku wyniosły </w:t>
      </w:r>
      <w:r w:rsidR="00615E1F" w:rsidRPr="003B449B">
        <w:rPr>
          <w:rFonts w:ascii="Calibri" w:hAnsi="Calibri" w:cs="Calibri"/>
          <w:sz w:val="24"/>
          <w:szCs w:val="24"/>
        </w:rPr>
        <w:t>2.756.928,91</w:t>
      </w:r>
      <w:r w:rsidRPr="003B449B">
        <w:rPr>
          <w:rFonts w:ascii="Calibri" w:hAnsi="Calibri" w:cs="Calibri"/>
          <w:sz w:val="24"/>
          <w:szCs w:val="24"/>
        </w:rPr>
        <w:t xml:space="preserve">. </w:t>
      </w:r>
      <w:r w:rsidR="00D6093E" w:rsidRPr="003B449B">
        <w:rPr>
          <w:rFonts w:ascii="Calibri" w:hAnsi="Calibri" w:cs="Calibri"/>
          <w:sz w:val="24"/>
          <w:szCs w:val="24"/>
        </w:rPr>
        <w:t xml:space="preserve">Ponadto wprowadzono środki z rozliczeń projektów w wysokości </w:t>
      </w:r>
      <w:r w:rsidR="00962FA7" w:rsidRPr="003B449B">
        <w:rPr>
          <w:rFonts w:ascii="Calibri" w:hAnsi="Calibri" w:cs="Calibri"/>
          <w:sz w:val="24"/>
          <w:szCs w:val="24"/>
        </w:rPr>
        <w:t>190.406,77 ZŁ.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3B449B" w:rsidRDefault="00D6093E" w:rsidP="00D6093E">
      <w:pPr>
        <w:numPr>
          <w:ilvl w:val="0"/>
          <w:numId w:val="6"/>
        </w:numPr>
        <w:tabs>
          <w:tab w:val="left" w:pos="42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B449B">
        <w:rPr>
          <w:rFonts w:ascii="Calibri" w:hAnsi="Calibri" w:cs="Calibri"/>
          <w:b/>
          <w:bCs/>
          <w:sz w:val="24"/>
          <w:szCs w:val="24"/>
        </w:rPr>
        <w:t>Dotyczy rozchodów  lat 2026- 2036 wykazanych w poz. 5.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Objaśnienia: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Wykazano w tej pozycji spłatę pożyczek w rozbiciu na poszczególne lata.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W 2026 roku planuje się rozchody na poziomie 1.100.000 zł i jest to spłata pożyczki z budżetu państwa w wysokości 900.000 zł i pożyczki długoterminowej z 2024 roku w kwocie 100.000 zł i pożyczki planowanej do zaciągnięcia w 2025 roku 100.000 zł.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Stan zadłużenia na początek 2026 roku będzie wynosił 13.100.000 zł, w tym z tytułu:</w:t>
      </w:r>
    </w:p>
    <w:p w:rsidR="00D6093E" w:rsidRPr="003B449B" w:rsidRDefault="00D6093E" w:rsidP="00D6093E">
      <w:pPr>
        <w:numPr>
          <w:ilvl w:val="0"/>
          <w:numId w:val="7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Pożyczki z budżetu państwa:</w:t>
      </w:r>
    </w:p>
    <w:p w:rsidR="00D6093E" w:rsidRPr="003B449B" w:rsidRDefault="00D6093E" w:rsidP="00D6093E">
      <w:pPr>
        <w:numPr>
          <w:ilvl w:val="0"/>
          <w:numId w:val="8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2026 r.-    900.000 zł;</w:t>
      </w:r>
    </w:p>
    <w:p w:rsidR="00D6093E" w:rsidRPr="003B449B" w:rsidRDefault="00D6093E" w:rsidP="00D6093E">
      <w:pPr>
        <w:numPr>
          <w:ilvl w:val="0"/>
          <w:numId w:val="8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2027 r.-    900.000 zł;</w:t>
      </w:r>
    </w:p>
    <w:p w:rsidR="00D6093E" w:rsidRPr="003B449B" w:rsidRDefault="00D6093E" w:rsidP="00D6093E">
      <w:pPr>
        <w:numPr>
          <w:ilvl w:val="0"/>
          <w:numId w:val="8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2028 r.-    900.000 zł;</w:t>
      </w:r>
    </w:p>
    <w:p w:rsidR="00D6093E" w:rsidRPr="003B449B" w:rsidRDefault="00D6093E" w:rsidP="00D6093E">
      <w:pPr>
        <w:numPr>
          <w:ilvl w:val="0"/>
          <w:numId w:val="8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2029 r.-    900.000 zł;</w:t>
      </w:r>
    </w:p>
    <w:p w:rsidR="00D6093E" w:rsidRPr="003B449B" w:rsidRDefault="00D6093E" w:rsidP="00D6093E">
      <w:pPr>
        <w:numPr>
          <w:ilvl w:val="0"/>
          <w:numId w:val="8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2030 r.-    900.000 zł;</w:t>
      </w:r>
    </w:p>
    <w:p w:rsidR="00D6093E" w:rsidRPr="003B449B" w:rsidRDefault="00D6093E" w:rsidP="00D6093E">
      <w:pPr>
        <w:numPr>
          <w:ilvl w:val="0"/>
          <w:numId w:val="8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2031 r.- 1.000.000 zł;</w:t>
      </w:r>
    </w:p>
    <w:p w:rsidR="00D6093E" w:rsidRPr="003B449B" w:rsidRDefault="00D6093E" w:rsidP="00D6093E">
      <w:pPr>
        <w:numPr>
          <w:ilvl w:val="0"/>
          <w:numId w:val="8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2032 r.- 1.000.000 zł;</w:t>
      </w:r>
    </w:p>
    <w:p w:rsidR="00D6093E" w:rsidRPr="003B449B" w:rsidRDefault="00D6093E" w:rsidP="00D6093E">
      <w:pPr>
        <w:numPr>
          <w:ilvl w:val="0"/>
          <w:numId w:val="8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2033 r.- 1.000.000 zł;</w:t>
      </w:r>
    </w:p>
    <w:p w:rsidR="00D6093E" w:rsidRPr="003B449B" w:rsidRDefault="00D6093E" w:rsidP="00D6093E">
      <w:pPr>
        <w:numPr>
          <w:ilvl w:val="0"/>
          <w:numId w:val="8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2034 r.- 1.000.000 zł;</w:t>
      </w:r>
    </w:p>
    <w:p w:rsidR="00D6093E" w:rsidRPr="003B449B" w:rsidRDefault="00D6093E" w:rsidP="00D6093E">
      <w:pPr>
        <w:numPr>
          <w:ilvl w:val="0"/>
          <w:numId w:val="8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2035 r.- 1.000.000 zł;</w:t>
      </w:r>
    </w:p>
    <w:p w:rsidR="00D6093E" w:rsidRPr="003B449B" w:rsidRDefault="00D6093E" w:rsidP="00D6093E">
      <w:pPr>
        <w:numPr>
          <w:ilvl w:val="0"/>
          <w:numId w:val="8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2036 r.-    300.000 zł;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3B449B" w:rsidRDefault="00D6093E" w:rsidP="00D6093E">
      <w:pPr>
        <w:numPr>
          <w:ilvl w:val="0"/>
          <w:numId w:val="7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Pożyczka z 2024 roku:</w:t>
      </w:r>
    </w:p>
    <w:p w:rsidR="00D6093E" w:rsidRPr="003B449B" w:rsidRDefault="00D6093E" w:rsidP="00D6093E">
      <w:pPr>
        <w:numPr>
          <w:ilvl w:val="0"/>
          <w:numId w:val="9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2026 r.-    100.000 zł;</w:t>
      </w:r>
    </w:p>
    <w:p w:rsidR="00D6093E" w:rsidRPr="003B449B" w:rsidRDefault="00D6093E" w:rsidP="00D6093E">
      <w:pPr>
        <w:numPr>
          <w:ilvl w:val="0"/>
          <w:numId w:val="9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2027 r.-    200.000 zł;</w:t>
      </w:r>
    </w:p>
    <w:p w:rsidR="00D6093E" w:rsidRPr="003B449B" w:rsidRDefault="00D6093E" w:rsidP="00D6093E">
      <w:pPr>
        <w:numPr>
          <w:ilvl w:val="0"/>
          <w:numId w:val="9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2028 r.-    200.000 zł;</w:t>
      </w:r>
    </w:p>
    <w:p w:rsidR="00D6093E" w:rsidRPr="003B449B" w:rsidRDefault="00D6093E" w:rsidP="00D6093E">
      <w:pPr>
        <w:numPr>
          <w:ilvl w:val="0"/>
          <w:numId w:val="9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2029 r.-    200.000 zł;</w:t>
      </w:r>
    </w:p>
    <w:p w:rsidR="00D6093E" w:rsidRPr="003B449B" w:rsidRDefault="00D6093E" w:rsidP="00D6093E">
      <w:pPr>
        <w:numPr>
          <w:ilvl w:val="0"/>
          <w:numId w:val="9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2030 r.-    200.000 zł;</w:t>
      </w:r>
    </w:p>
    <w:p w:rsidR="00D6093E" w:rsidRPr="003B449B" w:rsidRDefault="00D6093E" w:rsidP="00D6093E">
      <w:pPr>
        <w:numPr>
          <w:ilvl w:val="0"/>
          <w:numId w:val="9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2031 r.-    200.000 zł;</w:t>
      </w:r>
    </w:p>
    <w:p w:rsidR="00D6093E" w:rsidRPr="003B449B" w:rsidRDefault="00D6093E" w:rsidP="00D6093E">
      <w:pPr>
        <w:numPr>
          <w:ilvl w:val="0"/>
          <w:numId w:val="9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2032 r.-    200.000 zł;</w:t>
      </w:r>
    </w:p>
    <w:p w:rsidR="00D6093E" w:rsidRPr="003B449B" w:rsidRDefault="00D6093E" w:rsidP="00D6093E">
      <w:pPr>
        <w:numPr>
          <w:ilvl w:val="0"/>
          <w:numId w:val="9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2033 r.-    200.000 zł;</w:t>
      </w:r>
    </w:p>
    <w:p w:rsidR="00D6093E" w:rsidRPr="003B449B" w:rsidRDefault="00D6093E" w:rsidP="00D6093E">
      <w:pPr>
        <w:numPr>
          <w:ilvl w:val="0"/>
          <w:numId w:val="9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2034 r.-    100.000 zł;</w:t>
      </w:r>
    </w:p>
    <w:p w:rsidR="00D6093E" w:rsidRPr="003B449B" w:rsidRDefault="00D6093E" w:rsidP="00D6093E">
      <w:p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Calibri" w:hAnsi="Calibri" w:cs="Calibri"/>
          <w:sz w:val="24"/>
          <w:szCs w:val="24"/>
        </w:rPr>
      </w:pPr>
    </w:p>
    <w:p w:rsidR="00D6093E" w:rsidRPr="003B449B" w:rsidRDefault="00D6093E" w:rsidP="00D6093E">
      <w:pPr>
        <w:numPr>
          <w:ilvl w:val="0"/>
          <w:numId w:val="7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Pożyczka z  2025 roku:</w:t>
      </w:r>
    </w:p>
    <w:p w:rsidR="00D6093E" w:rsidRPr="003B449B" w:rsidRDefault="00D6093E" w:rsidP="00D6093E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p w:rsidR="00D6093E" w:rsidRPr="003B449B" w:rsidRDefault="00D6093E" w:rsidP="00D6093E">
      <w:pPr>
        <w:numPr>
          <w:ilvl w:val="0"/>
          <w:numId w:val="10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2026 r.-    100.000 zł;</w:t>
      </w:r>
    </w:p>
    <w:p w:rsidR="00D6093E" w:rsidRPr="003B449B" w:rsidRDefault="00D6093E" w:rsidP="00D6093E">
      <w:pPr>
        <w:numPr>
          <w:ilvl w:val="0"/>
          <w:numId w:val="10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lastRenderedPageBreak/>
        <w:t>2027 r.-    100.000 zł;</w:t>
      </w:r>
    </w:p>
    <w:p w:rsidR="00D6093E" w:rsidRPr="003B449B" w:rsidRDefault="00D6093E" w:rsidP="00D6093E">
      <w:pPr>
        <w:numPr>
          <w:ilvl w:val="0"/>
          <w:numId w:val="10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2028 r.-    200.000 zł;</w:t>
      </w:r>
    </w:p>
    <w:p w:rsidR="00D6093E" w:rsidRPr="003B449B" w:rsidRDefault="00D6093E" w:rsidP="00D6093E">
      <w:pPr>
        <w:numPr>
          <w:ilvl w:val="0"/>
          <w:numId w:val="10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2029 r.-    200.000 zł;</w:t>
      </w:r>
    </w:p>
    <w:p w:rsidR="00D6093E" w:rsidRPr="003B449B" w:rsidRDefault="00D6093E" w:rsidP="00D6093E">
      <w:pPr>
        <w:numPr>
          <w:ilvl w:val="0"/>
          <w:numId w:val="10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2030 r.-    100.000 zł;</w:t>
      </w:r>
    </w:p>
    <w:p w:rsidR="00D6093E" w:rsidRPr="003B449B" w:rsidRDefault="00D6093E" w:rsidP="00D6093E">
      <w:pPr>
        <w:numPr>
          <w:ilvl w:val="0"/>
          <w:numId w:val="10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2031 r.-    200.000 zł;</w:t>
      </w:r>
    </w:p>
    <w:p w:rsidR="00D6093E" w:rsidRPr="003B449B" w:rsidRDefault="00D6093E" w:rsidP="00D6093E">
      <w:pPr>
        <w:numPr>
          <w:ilvl w:val="0"/>
          <w:numId w:val="10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2032 r.-    200.000 zł;</w:t>
      </w:r>
    </w:p>
    <w:p w:rsidR="00D6093E" w:rsidRPr="003B449B" w:rsidRDefault="00D6093E" w:rsidP="00D6093E">
      <w:pPr>
        <w:numPr>
          <w:ilvl w:val="0"/>
          <w:numId w:val="10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2033 r.-    200.000 zł;</w:t>
      </w:r>
    </w:p>
    <w:p w:rsidR="00D6093E" w:rsidRPr="003B449B" w:rsidRDefault="00D6093E" w:rsidP="00D6093E">
      <w:pPr>
        <w:numPr>
          <w:ilvl w:val="0"/>
          <w:numId w:val="10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2034 r.-    300.000 zł;</w:t>
      </w:r>
    </w:p>
    <w:p w:rsidR="00D6093E" w:rsidRPr="003B449B" w:rsidRDefault="00D6093E" w:rsidP="00D6093E">
      <w:pPr>
        <w:numPr>
          <w:ilvl w:val="0"/>
          <w:numId w:val="10"/>
        </w:numPr>
        <w:tabs>
          <w:tab w:val="left" w:pos="708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2035 r. –  100.000 zł.</w:t>
      </w:r>
    </w:p>
    <w:p w:rsidR="00D6093E" w:rsidRPr="003B449B" w:rsidRDefault="00D6093E" w:rsidP="00D6093E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3B449B" w:rsidRDefault="00D6093E" w:rsidP="00D6093E">
      <w:pPr>
        <w:numPr>
          <w:ilvl w:val="0"/>
          <w:numId w:val="11"/>
        </w:numPr>
        <w:tabs>
          <w:tab w:val="left" w:pos="42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B449B">
        <w:rPr>
          <w:rFonts w:ascii="Calibri" w:hAnsi="Calibri" w:cs="Calibri"/>
          <w:b/>
          <w:bCs/>
          <w:sz w:val="24"/>
          <w:szCs w:val="24"/>
        </w:rPr>
        <w:t>Dotyczy długu publicznego na koniec roku 2026  wykazanego w poz. 6</w:t>
      </w:r>
    </w:p>
    <w:p w:rsidR="00D6093E" w:rsidRPr="003B449B" w:rsidRDefault="00D6093E" w:rsidP="00D6093E">
      <w:pPr>
        <w:tabs>
          <w:tab w:val="left" w:pos="42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Objaśnienia: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Zgodnie z przyjętymi założeniami do projektu budżetu na 2026 rok zadłużenie Gminy Biały Bór na koniec 2026 roku wyniesie 12.000.000 zł.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Wskaźnik zadłużenia, zgodnie z art. 243 ustawy o fin</w:t>
      </w:r>
      <w:r w:rsidR="00962FA7" w:rsidRPr="003B449B">
        <w:rPr>
          <w:rFonts w:ascii="Calibri" w:hAnsi="Calibri" w:cs="Calibri"/>
          <w:sz w:val="24"/>
          <w:szCs w:val="24"/>
        </w:rPr>
        <w:t>ansach publicznych wyniesie 4,2</w:t>
      </w:r>
      <w:r w:rsidR="003B449B" w:rsidRPr="003B449B">
        <w:rPr>
          <w:rFonts w:ascii="Calibri" w:hAnsi="Calibri" w:cs="Calibri"/>
          <w:sz w:val="24"/>
          <w:szCs w:val="24"/>
        </w:rPr>
        <w:t>2</w:t>
      </w:r>
      <w:r w:rsidRPr="003B449B">
        <w:rPr>
          <w:rFonts w:ascii="Calibri" w:hAnsi="Calibri" w:cs="Calibri"/>
          <w:sz w:val="24"/>
          <w:szCs w:val="24"/>
        </w:rPr>
        <w:t xml:space="preserve"> %, po uwzględnieniu ustawowych </w:t>
      </w:r>
      <w:proofErr w:type="spellStart"/>
      <w:r w:rsidRPr="003B449B">
        <w:rPr>
          <w:rFonts w:ascii="Calibri" w:hAnsi="Calibri" w:cs="Calibri"/>
          <w:sz w:val="24"/>
          <w:szCs w:val="24"/>
        </w:rPr>
        <w:t>wyłąc</w:t>
      </w:r>
      <w:r w:rsidR="00615E1F" w:rsidRPr="003B449B">
        <w:rPr>
          <w:rFonts w:ascii="Calibri" w:hAnsi="Calibri" w:cs="Calibri"/>
          <w:sz w:val="24"/>
          <w:szCs w:val="24"/>
        </w:rPr>
        <w:t>z</w:t>
      </w:r>
      <w:r w:rsidR="003B449B" w:rsidRPr="003B449B">
        <w:rPr>
          <w:rFonts w:ascii="Calibri" w:hAnsi="Calibri" w:cs="Calibri"/>
          <w:sz w:val="24"/>
          <w:szCs w:val="24"/>
        </w:rPr>
        <w:t>eń</w:t>
      </w:r>
      <w:proofErr w:type="spellEnd"/>
      <w:r w:rsidR="003B449B" w:rsidRPr="003B449B">
        <w:rPr>
          <w:rFonts w:ascii="Calibri" w:hAnsi="Calibri" w:cs="Calibri"/>
          <w:sz w:val="24"/>
          <w:szCs w:val="24"/>
        </w:rPr>
        <w:t>, przy maksymalnym limicie 8,19</w:t>
      </w:r>
      <w:r w:rsidRPr="003B449B">
        <w:rPr>
          <w:rFonts w:ascii="Calibri" w:hAnsi="Calibri" w:cs="Calibri"/>
          <w:sz w:val="24"/>
          <w:szCs w:val="24"/>
        </w:rPr>
        <w:t xml:space="preserve"> %. Wskaźnik zadłużenia jest spełniony.  W kolejnych latach wskaźniki zadłużenia, biorąc pod uwagę dopuszczalne wskaźniki także są spełnione.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Wybranym wariantem przy obliczaniu maksymalnych dopuszczalnych wskaźników spłaty długu gminy jest wskaźnik liczony według średnich 7-letnich.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B449B">
        <w:rPr>
          <w:rFonts w:ascii="Calibri" w:hAnsi="Calibri" w:cs="Calibri"/>
          <w:b/>
          <w:bCs/>
          <w:sz w:val="24"/>
          <w:szCs w:val="24"/>
        </w:rPr>
        <w:t>7. Relacja art. 242 ustawy o finansach publicznych poz. 7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Objaśnienia: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 xml:space="preserve">Przy uchwalaniu budżetu musi być zachowana relacja z art. 242 ustawy o finansach publicznych tzn. wydatki bieżące muszą być niższe niż dochody bieżące powiększone o wolne środki. 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Analizując projekt budżetu gminy na 2026 rok i Wieloletnią Prognozę Finansową należy stwierdzić, że relacja jest zachowana. W 2026 roku wydatki bieżące są niż</w:t>
      </w:r>
      <w:r w:rsidR="00615E1F" w:rsidRPr="003B449B">
        <w:rPr>
          <w:rFonts w:ascii="Calibri" w:hAnsi="Calibri" w:cs="Calibri"/>
          <w:sz w:val="24"/>
          <w:szCs w:val="24"/>
        </w:rPr>
        <w:t>sze od dochodów bieżących o 1.</w:t>
      </w:r>
      <w:r w:rsidR="003B449B" w:rsidRPr="003B449B">
        <w:rPr>
          <w:rFonts w:ascii="Calibri" w:hAnsi="Calibri" w:cs="Calibri"/>
          <w:sz w:val="24"/>
          <w:szCs w:val="24"/>
        </w:rPr>
        <w:t>14</w:t>
      </w:r>
      <w:r w:rsidR="00D44AAD">
        <w:rPr>
          <w:rFonts w:ascii="Calibri" w:hAnsi="Calibri" w:cs="Calibri"/>
          <w:sz w:val="24"/>
          <w:szCs w:val="24"/>
        </w:rPr>
        <w:t>8.366,35</w:t>
      </w:r>
      <w:r w:rsidRPr="003B449B">
        <w:rPr>
          <w:rFonts w:ascii="Calibri" w:hAnsi="Calibri" w:cs="Calibri"/>
          <w:sz w:val="24"/>
          <w:szCs w:val="24"/>
        </w:rPr>
        <w:t xml:space="preserve"> zł. </w:t>
      </w:r>
    </w:p>
    <w:p w:rsidR="00D6093E" w:rsidRPr="003B449B" w:rsidRDefault="00D6093E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>Jak wynika z WPF w kolejnych latach 2026-2036 wskaźnik ten także zostanie spełniony, ponieważ wydatki bieżące będą niższe od dochodów bieżących.</w:t>
      </w:r>
    </w:p>
    <w:p w:rsidR="00962FA7" w:rsidRPr="003B449B" w:rsidRDefault="00962FA7" w:rsidP="00D609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093E" w:rsidRPr="003B449B" w:rsidRDefault="00D6093E" w:rsidP="00D6093E">
      <w:pPr>
        <w:numPr>
          <w:ilvl w:val="0"/>
          <w:numId w:val="12"/>
        </w:num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 w:rsidRPr="003B449B">
        <w:rPr>
          <w:rFonts w:ascii="Calibri" w:hAnsi="Calibri" w:cs="Calibri"/>
          <w:b/>
          <w:bCs/>
          <w:sz w:val="24"/>
          <w:szCs w:val="24"/>
        </w:rPr>
        <w:t>Przedsięwzięcia</w:t>
      </w:r>
    </w:p>
    <w:p w:rsidR="00E12441" w:rsidRPr="003B449B" w:rsidRDefault="00D6093E" w:rsidP="00962F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3B449B">
        <w:rPr>
          <w:rFonts w:ascii="Calibri" w:hAnsi="Calibri" w:cs="Calibri"/>
          <w:sz w:val="24"/>
          <w:szCs w:val="24"/>
        </w:rPr>
        <w:t xml:space="preserve">W załączniku Nr 3 przedstawiono przedsięwzięcia, których łączne nakłady finansowe wynoszą </w:t>
      </w:r>
      <w:r w:rsidR="00D44AAD">
        <w:rPr>
          <w:rFonts w:ascii="Calibri" w:hAnsi="Calibri" w:cs="Calibri"/>
          <w:sz w:val="24"/>
          <w:szCs w:val="24"/>
        </w:rPr>
        <w:t xml:space="preserve">12.514.487,80 </w:t>
      </w:r>
      <w:r w:rsidRPr="003B449B">
        <w:rPr>
          <w:rFonts w:ascii="Calibri" w:hAnsi="Calibri" w:cs="Calibri"/>
          <w:sz w:val="24"/>
          <w:szCs w:val="24"/>
        </w:rPr>
        <w:t xml:space="preserve">zł, a limit na 2026 rok wyniesie </w:t>
      </w:r>
      <w:r w:rsidR="00D44AAD">
        <w:rPr>
          <w:rFonts w:ascii="Calibri" w:hAnsi="Calibri" w:cs="Calibri"/>
          <w:sz w:val="24"/>
          <w:szCs w:val="24"/>
        </w:rPr>
        <w:t>2.301.257</w:t>
      </w:r>
      <w:r w:rsidRPr="003B449B">
        <w:rPr>
          <w:rFonts w:ascii="Calibri" w:hAnsi="Calibri" w:cs="Calibri"/>
          <w:sz w:val="24"/>
          <w:szCs w:val="24"/>
        </w:rPr>
        <w:t xml:space="preserve"> zł.</w:t>
      </w:r>
      <w:bookmarkStart w:id="0" w:name="_GoBack"/>
      <w:bookmarkEnd w:id="0"/>
    </w:p>
    <w:p w:rsidR="00615E1F" w:rsidRPr="003B449B" w:rsidRDefault="00615E1F" w:rsidP="00615E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</w:pPr>
      <w:r w:rsidRPr="003B449B">
        <w:t>Nie ujmuje się w wykazie przedsięwzięć umów na wydatki bieżące związane z realizacją zadań własnych gminy, nawet jeśli okres ich realizacji wykracza poza rok budżetowy.</w:t>
      </w:r>
    </w:p>
    <w:p w:rsidR="00615E1F" w:rsidRPr="003B449B" w:rsidRDefault="00615E1F" w:rsidP="00615E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</w:pPr>
      <w:r w:rsidRPr="003B449B">
        <w:t xml:space="preserve">Wydatki te planowane są i ujmowane w limitach wydatków w poszczególnych latach budżetowych </w:t>
      </w:r>
      <w:r w:rsidRPr="003B449B">
        <w:br/>
        <w:t>w załączniku WPF w łącznej kwocie wydatków</w:t>
      </w:r>
    </w:p>
    <w:sectPr w:rsidR="00615E1F" w:rsidRPr="003B449B" w:rsidSect="00615E1F">
      <w:pgSz w:w="11907" w:h="16839"/>
      <w:pgMar w:top="1417" w:right="1417" w:bottom="56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73" w:hanging="425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833" w:hanging="425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193" w:hanging="425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553" w:hanging="425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913" w:hanging="425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273" w:hanging="425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633" w:hanging="425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993" w:hanging="425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353" w:hanging="425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ind w:left="108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upperRoman"/>
      <w:lvlText w:val="%2."/>
      <w:lvlJc w:val="left"/>
      <w:pPr>
        <w:ind w:left="144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upperRoman"/>
      <w:lvlText w:val="%3."/>
      <w:lvlJc w:val="left"/>
      <w:pPr>
        <w:ind w:left="180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upperRoman"/>
      <w:lvlText w:val="%4."/>
      <w:lvlJc w:val="left"/>
      <w:pPr>
        <w:ind w:left="216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upperRoman"/>
      <w:lvlText w:val="%5."/>
      <w:lvlJc w:val="left"/>
      <w:pPr>
        <w:ind w:left="252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upperRoman"/>
      <w:lvlText w:val="%6."/>
      <w:lvlJc w:val="left"/>
      <w:pPr>
        <w:ind w:left="288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upperRoman"/>
      <w:lvlText w:val="%7."/>
      <w:lvlJc w:val="left"/>
      <w:pPr>
        <w:ind w:left="324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upperRoman"/>
      <w:lvlText w:val="%8."/>
      <w:lvlJc w:val="left"/>
      <w:pPr>
        <w:ind w:left="360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upperRoman"/>
      <w:lvlText w:val="%9."/>
      <w:lvlJc w:val="left"/>
      <w:pPr>
        <w:ind w:left="396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4" w15:restartNumberingAfterBreak="0">
    <w:nsid w:val="00000005"/>
    <w:multiLevelType w:val="multilevel"/>
    <w:tmpl w:val="00000005"/>
    <w:lvl w:ilvl="0">
      <w:start w:val="4"/>
      <w:numFmt w:val="decimal"/>
      <w:lvlText w:val="%1."/>
      <w:lvlJc w:val="left"/>
      <w:pPr>
        <w:ind w:left="108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4"/>
      <w:numFmt w:val="decimal"/>
      <w:lvlText w:val="%2."/>
      <w:lvlJc w:val="left"/>
      <w:pPr>
        <w:ind w:left="144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4"/>
      <w:numFmt w:val="decimal"/>
      <w:lvlText w:val="%3."/>
      <w:lvlJc w:val="left"/>
      <w:pPr>
        <w:ind w:left="180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4"/>
      <w:numFmt w:val="decimal"/>
      <w:lvlText w:val="%4."/>
      <w:lvlJc w:val="left"/>
      <w:pPr>
        <w:ind w:left="216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4"/>
      <w:numFmt w:val="decimal"/>
      <w:lvlText w:val="%5."/>
      <w:lvlJc w:val="left"/>
      <w:pPr>
        <w:ind w:left="252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4"/>
      <w:numFmt w:val="decimal"/>
      <w:lvlText w:val="%6."/>
      <w:lvlJc w:val="left"/>
      <w:pPr>
        <w:ind w:left="288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4"/>
      <w:numFmt w:val="decimal"/>
      <w:lvlText w:val="%7."/>
      <w:lvlJc w:val="left"/>
      <w:pPr>
        <w:ind w:left="324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4"/>
      <w:numFmt w:val="decimal"/>
      <w:lvlText w:val="%8."/>
      <w:lvlJc w:val="left"/>
      <w:pPr>
        <w:ind w:left="360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4"/>
      <w:numFmt w:val="decimal"/>
      <w:lvlText w:val="%9."/>
      <w:lvlJc w:val="left"/>
      <w:pPr>
        <w:ind w:left="396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lvlText w:val="%3)"/>
      <w:lvlJc w:val="left"/>
      <w:pPr>
        <w:ind w:left="180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lowerLetter"/>
      <w:lvlText w:val="%4)"/>
      <w:lvlJc w:val="left"/>
      <w:pPr>
        <w:ind w:left="21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lowerLetter"/>
      <w:lvlText w:val="%5)"/>
      <w:lvlJc w:val="left"/>
      <w:pPr>
        <w:ind w:left="25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lowerLetter"/>
      <w:lvlText w:val="%7)"/>
      <w:lvlJc w:val="left"/>
      <w:pPr>
        <w:ind w:left="324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lowerLetter"/>
      <w:lvlText w:val="%8)"/>
      <w:lvlJc w:val="left"/>
      <w:pPr>
        <w:ind w:left="360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lowerLetter"/>
      <w:lvlText w:val="%9)"/>
      <w:lvlJc w:val="left"/>
      <w:pPr>
        <w:ind w:left="39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lvlText w:val="%3)"/>
      <w:lvlJc w:val="left"/>
      <w:pPr>
        <w:ind w:left="180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lowerLetter"/>
      <w:lvlText w:val="%4)"/>
      <w:lvlJc w:val="left"/>
      <w:pPr>
        <w:ind w:left="21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lowerLetter"/>
      <w:lvlText w:val="%5)"/>
      <w:lvlJc w:val="left"/>
      <w:pPr>
        <w:ind w:left="25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lowerLetter"/>
      <w:lvlText w:val="%7)"/>
      <w:lvlJc w:val="left"/>
      <w:pPr>
        <w:ind w:left="324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lowerLetter"/>
      <w:lvlText w:val="%8)"/>
      <w:lvlJc w:val="left"/>
      <w:pPr>
        <w:ind w:left="360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lowerLetter"/>
      <w:lvlText w:val="%9)"/>
      <w:lvlJc w:val="left"/>
      <w:pPr>
        <w:ind w:left="39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lvlText w:val="%3)"/>
      <w:lvlJc w:val="left"/>
      <w:pPr>
        <w:ind w:left="180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lowerLetter"/>
      <w:lvlText w:val="%4)"/>
      <w:lvlJc w:val="left"/>
      <w:pPr>
        <w:ind w:left="21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lowerLetter"/>
      <w:lvlText w:val="%5)"/>
      <w:lvlJc w:val="left"/>
      <w:pPr>
        <w:ind w:left="25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lowerLetter"/>
      <w:lvlText w:val="%7)"/>
      <w:lvlJc w:val="left"/>
      <w:pPr>
        <w:ind w:left="324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lowerLetter"/>
      <w:lvlText w:val="%8)"/>
      <w:lvlJc w:val="left"/>
      <w:pPr>
        <w:ind w:left="360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lowerLetter"/>
      <w:lvlText w:val="%9)"/>
      <w:lvlJc w:val="left"/>
      <w:pPr>
        <w:ind w:left="39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9" w15:restartNumberingAfterBreak="0">
    <w:nsid w:val="0000000A"/>
    <w:multiLevelType w:val="multilevel"/>
    <w:tmpl w:val="0000000A"/>
    <w:lvl w:ilvl="0">
      <w:start w:val="4"/>
      <w:numFmt w:val="decimal"/>
      <w:lvlText w:val="%1."/>
      <w:lvlJc w:val="left"/>
      <w:pPr>
        <w:ind w:left="108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4"/>
      <w:numFmt w:val="decimal"/>
      <w:lvlText w:val="%2."/>
      <w:lvlJc w:val="left"/>
      <w:pPr>
        <w:ind w:left="144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4"/>
      <w:numFmt w:val="decimal"/>
      <w:lvlText w:val="%3."/>
      <w:lvlJc w:val="left"/>
      <w:pPr>
        <w:ind w:left="180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4"/>
      <w:numFmt w:val="decimal"/>
      <w:lvlText w:val="%4."/>
      <w:lvlJc w:val="left"/>
      <w:pPr>
        <w:ind w:left="216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4"/>
      <w:numFmt w:val="decimal"/>
      <w:lvlText w:val="%5."/>
      <w:lvlJc w:val="left"/>
      <w:pPr>
        <w:ind w:left="252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4"/>
      <w:numFmt w:val="decimal"/>
      <w:lvlText w:val="%6."/>
      <w:lvlJc w:val="left"/>
      <w:pPr>
        <w:ind w:left="288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4"/>
      <w:numFmt w:val="decimal"/>
      <w:lvlText w:val="%7."/>
      <w:lvlJc w:val="left"/>
      <w:pPr>
        <w:ind w:left="324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4"/>
      <w:numFmt w:val="decimal"/>
      <w:lvlText w:val="%8."/>
      <w:lvlJc w:val="left"/>
      <w:pPr>
        <w:ind w:left="360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4"/>
      <w:numFmt w:val="decimal"/>
      <w:lvlText w:val="%9."/>
      <w:lvlJc w:val="left"/>
      <w:pPr>
        <w:ind w:left="3960" w:hanging="1080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0" w15:restartNumberingAfterBreak="0">
    <w:nsid w:val="0000000B"/>
    <w:multiLevelType w:val="multilevel"/>
    <w:tmpl w:val="0000000B"/>
    <w:lvl w:ilvl="0">
      <w:start w:val="8"/>
      <w:numFmt w:val="decimal"/>
      <w:lvlText w:val="%1."/>
      <w:lvlJc w:val="left"/>
      <w:pPr>
        <w:ind w:left="284" w:hanging="284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8"/>
      <w:numFmt w:val="decimal"/>
      <w:lvlText w:val="%2."/>
      <w:lvlJc w:val="left"/>
      <w:pPr>
        <w:ind w:left="644" w:hanging="284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8"/>
      <w:numFmt w:val="decimal"/>
      <w:lvlText w:val="%3."/>
      <w:lvlJc w:val="left"/>
      <w:pPr>
        <w:ind w:left="1004" w:hanging="284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8"/>
      <w:numFmt w:val="decimal"/>
      <w:lvlText w:val="%4."/>
      <w:lvlJc w:val="left"/>
      <w:pPr>
        <w:ind w:left="1364" w:hanging="284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8"/>
      <w:numFmt w:val="decimal"/>
      <w:lvlText w:val="%5."/>
      <w:lvlJc w:val="left"/>
      <w:pPr>
        <w:ind w:left="1724" w:hanging="284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8"/>
      <w:numFmt w:val="decimal"/>
      <w:lvlText w:val="%6."/>
      <w:lvlJc w:val="left"/>
      <w:pPr>
        <w:ind w:left="2084" w:hanging="284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8"/>
      <w:numFmt w:val="decimal"/>
      <w:lvlText w:val="%7."/>
      <w:lvlJc w:val="left"/>
      <w:pPr>
        <w:ind w:left="2444" w:hanging="284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8"/>
      <w:numFmt w:val="decimal"/>
      <w:lvlText w:val="%8."/>
      <w:lvlJc w:val="left"/>
      <w:pPr>
        <w:ind w:left="2804" w:hanging="284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8"/>
      <w:numFmt w:val="decimal"/>
      <w:lvlText w:val="%9."/>
      <w:lvlJc w:val="left"/>
      <w:pPr>
        <w:ind w:left="3164" w:hanging="284"/>
      </w:pPr>
      <w:rPr>
        <w:rFonts w:ascii="Calibri" w:hAnsi="Calibri" w:cs="Calibri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  <w:lvlOverride w:ilvl="0">
      <w:lvl w:ilvl="0">
        <w:start w:val="1"/>
        <w:numFmt w:val="decimal"/>
        <w:lvlText w:val="%1."/>
        <w:lvlJc w:val="left"/>
        <w:pPr>
          <w:ind w:left="720" w:hanging="696"/>
        </w:pPr>
        <w:rPr>
          <w:rFonts w:ascii="Calibri" w:hAnsi="Calibri" w:cs="Calibri"/>
          <w:b/>
          <w:bCs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08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44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80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16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5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324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60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89"/>
    <w:rsid w:val="00031989"/>
    <w:rsid w:val="003B449B"/>
    <w:rsid w:val="00615E1F"/>
    <w:rsid w:val="00962FA7"/>
    <w:rsid w:val="00991CAE"/>
    <w:rsid w:val="00D44AAD"/>
    <w:rsid w:val="00D6093E"/>
    <w:rsid w:val="00E1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4C4EA-E2FA-4BE3-90BE-59EAE5E0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62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1225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skarbnik1</dc:creator>
  <cp:keywords/>
  <dc:description/>
  <cp:lastModifiedBy>skarbnik1</cp:lastModifiedBy>
  <cp:revision>11</cp:revision>
  <cp:lastPrinted>2026-06-19T05:56:00Z</cp:lastPrinted>
  <dcterms:created xsi:type="dcterms:W3CDTF">2026-01-25T17:31:00Z</dcterms:created>
  <dcterms:modified xsi:type="dcterms:W3CDTF">2026-06-22T11:46:00Z</dcterms:modified>
</cp:coreProperties>
</file>